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97 FamFG — Vorrang und Unberührtheit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Regelungen in völkerrechtlichen Vereinbarungen gehen, soweit sie unmittelbar anwendbares innerstaatliches Recht geworden sind, den Vorschriften dieses Gesetzes vor. Regelungen in Rechtsakten der Europäischen Union bleiben unberührt.</w:t>
      </w:r>
    </w:p>
    <w:p>
      <w:r>
        <w:t xml:space="preserve">(2) Die zur Umsetzung und Ausführung von Vereinbarungen und Rechtsakten im Sinne des Absatzes 1 erlassenen Bestimmungen bleiben unberührt.</w:t>
      </w:r>
    </w:p>
    <w:p>
      <w:r>
        <w:rPr>
          <w:color w:val="555555"/>
          <w:sz w:val="17"/>
        </w:rPr>
        <w:t xml:space="preserve">Zitiervorschlag: § 97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https://recht.nulegal.eu/gesetze/FamFG/97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