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FamFG — Vollstreckung in Verfahren nach dem Gewaltschutzgesetz und in Ehewohnungssachen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Handelt der Verpflichtete einer Anordnung nach § 1 des Gewaltschutzgesetzes zuwider, eine Handlung zu unterlassen, kann der Berechtigte zur Beseitigung einer jeden andauernden Zuwiderhandlung einen Gerichtsvollzieher zuziehen. Der Gerichtsvollzieher hat nach § 758 Abs. 3 und § 759 der Zivilprozessordnung zu verfahren; er kann ein Auskunfts- und Unterstützungsersuchen nach § 757a der Zivilprozessordnung stellen. Die §§ 890 und 891 der Zivilprozessordnung bleiben daneben anwendbar.</w:t>
      </w:r>
    </w:p>
    <w:p>
      <w:r>
        <w:t xml:space="preserve">(2) Bei einer einstweiligen Anordnung in Gewaltschutzsachen, soweit Gegenstand des Verfahrens Regelungen aus dem Bereich der Ehewohnungssachen sind, und in Ehewohnungssachen ist die mehrfache Einweisung des Besitzes im Sinne des § 885 Abs. 1 der Zivilprozessordnung während der Geltungsdauer möglich. Einer erneuten Zustellung an den Verpflichteten bedarf es nicht.</w:t>
      </w:r>
    </w:p>
    <w:p>
      <w:r>
        <w:rPr>
          <w:color w:val="555555"/>
          <w:sz w:val="17"/>
        </w:rPr>
        <w:t xml:space="preserve">Zitiervorschlag: § 96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https://recht.nulegal.eu/gesetze/FamFG/96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