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FamFG — Einstellung der Vollstreckung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durch Beschluss die Vollstreckung einstweilen einstellen oder beschränken und Vollstreckungsmaßregeln aufheben, wenn</w:t>
      </w:r>
    </w:p>
    <w:p>
      <w:pPr>
        <w:ind w:left="420"/>
      </w:pPr>
      <w:r>
        <w:t xml:space="preserve">1. Wiedereinsetzung in den vorigen Stand beantragt wird;</w:t>
      </w:r>
    </w:p>
    <w:p>
      <w:pPr>
        <w:ind w:left="420"/>
      </w:pPr>
      <w:r>
        <w:t xml:space="preserve">2. Wiederaufnahme des Verfahrens beantragt wird;</w:t>
      </w:r>
    </w:p>
    <w:p>
      <w:pPr>
        <w:ind w:left="420"/>
      </w:pPr>
      <w:r>
        <w:t xml:space="preserve">3. gegen eine Entscheidung Beschwerde eingelegt wird;</w:t>
      </w:r>
    </w:p>
    <w:p>
      <w:pPr>
        <w:ind w:left="420"/>
      </w:pPr>
      <w:r>
        <w:t xml:space="preserve">4. die Abänderung einer Entscheidung beantragt wird;</w:t>
      </w:r>
    </w:p>
    <w:p>
      <w:pPr>
        <w:ind w:left="420"/>
      </w:pPr>
      <w:r>
        <w:t xml:space="preserve">5. die Durchführung eines Vermittlungsverfahrens (§ 165) beantragt wird.</w:t>
      </w:r>
    </w:p>
    <w:p>
      <w:r>
        <w:t xml:space="preserve">In der Beschwerdeinstanz ist über die einstweilige Einstellung der Vollstreckung vorab zu entscheiden. Der Beschluss ist nicht anfechtbar.</w:t>
      </w:r>
    </w:p>
    <w:p>
      <w:r>
        <w:t xml:space="preserve">(2) Für die Einstellung oder Beschränkung der Vollstreckung und die Aufhebung von Vollstreckungsmaßregeln gelten § 775 Nr. 1 und 2 und § 776 der Zivilprozessordnung entsprechend.</w:t>
      </w:r>
    </w:p>
    <w:p>
      <w:r>
        <w:rPr>
          <w:color w:val="555555"/>
          <w:sz w:val="17"/>
        </w:rPr>
        <w:t xml:space="preserve">Zitiervorschlag: § 93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