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FamFG — Vollstreckungsverfahren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Vor der Festsetzung von Ordnungsmitteln ist der Verpflichtete zu hören. Dies gilt auch für die Anordnung von unmittelbarem Zwang, es sei denn, dass hierdurch die Vollstreckung vereitelt oder wesentlich erschwert würde.</w:t>
      </w:r>
    </w:p>
    <w:p>
      <w:r>
        <w:t xml:space="preserve">(2) Dem Verpflichteten sind mit der Festsetzung von Ordnungsmitteln oder der Anordnung von unmittelbarem Zwang die Kosten des Verfahrens aufzuerlegen.</w:t>
      </w:r>
    </w:p>
    <w:p>
      <w:r>
        <w:t xml:space="preserve">(3) Die vorherige Durchführung eines Verfahrens nach § 165 ist nicht Voraussetzung für die Festsetzung von Ordnungsmitteln oder die Anordnung von unmittelbarem Zwang. Die Durchführung eines solchen Verfahrens steht der Festsetzung von Ordnungsmitteln oder der Anordnung von unmittelbarem Zwang nicht entgegen.</w:t>
      </w:r>
    </w:p>
    <w:p>
      <w:r>
        <w:rPr>
          <w:color w:val="555555"/>
          <w:sz w:val="17"/>
        </w:rPr>
        <w:t xml:space="preserve">Zitiervorschlag: § 92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