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FamFG — Richterlicher Durchsuchungsbeschluss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Wohnung des Verpflichteten darf ohne dessen Einwilligung nur auf Grund eines richterlichen Beschlusses durchsucht werden. Dies gilt nicht, wenn der Erlass des Beschlusses den Erfolg der Durchsuchung gefährden würde.</w:t>
      </w:r>
    </w:p>
    <w:p>
      <w:r>
        <w:t xml:space="preserve">(2) Auf die Vollstreckung eines Haftbefehls nach § 94 in Verbindung mit § 802g der Zivilprozessordnung ist Absatz 1 nicht anzuwenden.</w:t>
      </w:r>
    </w:p>
    <w:p>
      <w:r>
        <w:t xml:space="preserve">(3) Willigt der Verpflichtete in die Durchsuchung ein oder ist ein Beschluss gegen ihn nach Absatz 1 Satz 1 ergangen oder nach Absatz 1 Satz 2 entbehrlich, haben Personen, die Mitgewahrsam an der Wohnung des Verpflichteten haben, die Durchsuchung zu dulden. Unbillige Härten gegenüber Mitgewahrsamsinhabern sind zu vermeiden.</w:t>
      </w:r>
    </w:p>
    <w:p>
      <w:r>
        <w:t xml:space="preserve">(4) Der Beschluss nach Absatz 1 ist bei der Vollstreckung vorzulegen.</w:t>
      </w:r>
    </w:p>
    <w:p>
      <w:r>
        <w:rPr>
          <w:color w:val="555555"/>
          <w:sz w:val="17"/>
        </w:rPr>
        <w:t xml:space="preserve">Zitiervorschlag: § 91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