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 FamFG — Anwendung unmittelbaren Zwanges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kann durch ausdrücklichen Beschluss zur Vollstreckung unmittelbaren Zwang anordnen, wenn</w:t>
      </w:r>
    </w:p>
    <w:p>
      <w:pPr>
        <w:ind w:left="420"/>
      </w:pPr>
      <w:r>
        <w:t xml:space="preserve">1. die Festsetzung von Ordnungsmitteln erfolglos geblieben ist;</w:t>
      </w:r>
    </w:p>
    <w:p>
      <w:pPr>
        <w:ind w:left="420"/>
      </w:pPr>
      <w:r>
        <w:t xml:space="preserve">2. die Festsetzung von Ordnungsmitteln keinen Erfolg verspricht;</w:t>
      </w:r>
    </w:p>
    <w:p>
      <w:pPr>
        <w:ind w:left="420"/>
      </w:pPr>
      <w:r>
        <w:t xml:space="preserve">3. eine alsbaldige Vollstreckung der Entscheidung unbedingt geboten ist.</w:t>
      </w:r>
    </w:p>
    <w:p>
      <w:r>
        <w:t xml:space="preserve">(2) Anwendung unmittelbaren Zwanges gegen ein Kind darf nicht zugelassen werden, wenn das Kind herausgegeben werden soll, um das Umgangsrecht auszuüben. Im Übrigen darf unmittelbarer Zwang gegen ein Kind nur zugelassen werden, wenn dies unter Berücksichtigung des Kindeswohls gerechtfertigt ist und eine Durchsetzung der Verpflichtung mit milderen Mitteln nicht möglich ist.</w:t>
      </w:r>
    </w:p>
    <w:p>
      <w:r>
        <w:rPr>
          <w:color w:val="555555"/>
          <w:sz w:val="17"/>
        </w:rPr>
        <w:t xml:space="preserve">Zitiervorschlag: § 90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