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FamFG — Verfahrensfähigkeit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Verfahrensfähig sind</w:t>
      </w:r>
    </w:p>
    <w:p>
      <w:pPr>
        <w:ind w:left="420"/>
      </w:pPr>
      <w:r>
        <w:t xml:space="preserve">1. die nach bürgerlichem Recht Geschäftsfähigen,</w:t>
      </w:r>
    </w:p>
    <w:p>
      <w:pPr>
        <w:ind w:left="420"/>
      </w:pPr>
      <w:r>
        <w:t xml:space="preserve">2. die nach bürgerlichem Recht beschränkt Geschäftsfähigen, soweit sie für den Gegenstand des Verfahrens nach bürgerlichem Recht als geschäftsfähig anerkannt sind,</w:t>
      </w:r>
    </w:p>
    <w:p>
      <w:pPr>
        <w:ind w:left="420"/>
      </w:pPr>
      <w:r>
        <w:t xml:space="preserve">3. die nach bürgerlichem Recht beschränkt Geschäftsfähigen, soweit sie das 14. Lebensjahr vollendet haben und sie in einem Verfahren, das ihre Person betrifft, ein ihnen nach bürgerlichem Recht zustehendes Recht geltend machen,</w:t>
      </w:r>
    </w:p>
    <w:p>
      <w:pPr>
        <w:ind w:left="420"/>
      </w:pPr>
      <w:r>
        <w:t xml:space="preserve">4. diejenigen, die auf Grund dieses oder eines anderen Gesetzes dazu bestimmt werden.</w:t>
      </w:r>
    </w:p>
    <w:p>
      <w:r>
        <w:t xml:space="preserve">(2) Soweit ein Geschäftsunfähiger oder in der Geschäftsfähigkeit Beschränkter nicht verfahrensfähig ist, handeln für ihn die nach bürgerlichem Recht dazu befugten Personen.</w:t>
      </w:r>
    </w:p>
    <w:p>
      <w:r>
        <w:t xml:space="preserve">(3) Für Vereinigungen sowie für Behörden handeln ihre gesetzlichen Vertreter und Vorstände.</w:t>
      </w:r>
    </w:p>
    <w:p>
      <w:r>
        <w:t xml:space="preserve">(4) Das Verschulden eines gesetzlichen Vertreters steht dem Verschulden eines Beteiligten gleich.</w:t>
      </w:r>
    </w:p>
    <w:p>
      <w:r>
        <w:t xml:space="preserve">(5) Die §§ 53 bis 58 der Zivilprozessordnung gelten entsprechend.</w:t>
      </w:r>
    </w:p>
    <w:p>
      <w:r>
        <w:rPr>
          <w:color w:val="555555"/>
          <w:sz w:val="17"/>
        </w:rPr>
        <w:t xml:space="preserve">Zitiervorschlag: § 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