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FamFG — Ordnungsmittel</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der Zuwiderhandlung gegen einen Vollstreckungstitel zur Herausgabe von Personen und zur Regelung des Umgangs kann das Gericht gegenüber dem Verpflichteten Ordnungsgeld und für den Fall, dass dieses nicht beigetrieben werden kann, Ordnungshaft anordnen. Verspricht die Anordnung eines Ordnungsgelds keinen Erfolg, kann das Gericht Ordnungshaft anordnen. Die Anordnungen ergehen durch Beschluss.</w:t>
      </w:r>
    </w:p>
    <w:p>
      <w:r>
        <w:t xml:space="preserve">(2) Der Beschluss, der die Herausgabe der Person oder die Regelung des Umgangs anordnet, hat auf die Folgen einer Zuwiderhandlung gegen den Vollstreckungstitel hinzuweisen.</w:t>
      </w:r>
    </w:p>
    <w:p>
      <w:r>
        <w:t xml:space="preserve">(3) Das einzelne Ordnungsgeld darf den Betrag von 25 000 Euro nicht übersteigen. Für den Vollzug der Haft gelten § 802g Abs. 1 Satz 2 und Abs. 2, die §§ 802h und 802j Abs. 1 der Zivilprozessordnung entsprechend.</w:t>
      </w:r>
    </w:p>
    <w:p>
      <w:r>
        <w:t xml:space="preserve">(4) Die Festsetzung eines Ordnungsmittels unterbleibt, wenn der Verpflichtete Gründe vorträgt, aus denen sich ergibt, dass er die Zuwiderhandlung nicht zu vertreten hat. Werden Gründe, aus denen sich das fehlende Vertretenmüssen ergibt, nachträglich vorgetragen, wird die Festsetzung aufgehoben.</w:t>
      </w:r>
    </w:p>
    <w:p>
      <w:r>
        <w:rPr>
          <w:color w:val="555555"/>
          <w:sz w:val="17"/>
        </w:rPr>
        <w:t xml:space="preserve">Zitiervorschlag: § 89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