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FamFG — Grundsätze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Vollstreckung erfolgt durch das Gericht, in dessen Bezirk die Person zum Zeitpunkt der Einleitung der Vollstreckung ihren gewöhnlichen Aufenthalt hat.</w:t>
      </w:r>
    </w:p>
    <w:p>
      <w:r>
        <w:t xml:space="preserve">(2) Das Jugendamt leistet dem Gericht in geeigneten Fällen Unterstützung.</w:t>
      </w:r>
    </w:p>
    <w:p>
      <w:r>
        <w:t xml:space="preserve">(3) Die Verfahren sind vorrangig und beschleunigt durchzuführen. Die §§ 155b und 155c gelten entsprechend.</w:t>
      </w:r>
    </w:p>
    <w:p>
      <w:r>
        <w:rPr>
          <w:color w:val="555555"/>
          <w:sz w:val="17"/>
        </w:rPr>
        <w:t xml:space="preserve">Zitiervorschlag: § 88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