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FamFG — Voraussetzungen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Bewilligung von Verfahrenskostenhilfe finden die Vorschriften der Zivilprozessordnung über die Prozesskostenhilfe entsprechende Anwendung, soweit nachfolgend nichts Abweichendes bestimmt ist.</w:t>
      </w:r>
    </w:p>
    <w:p>
      <w:r>
        <w:t xml:space="preserve">(2) Ein Beschluss, der im Verfahrenskostenhilfeverfahren ergeht, ist mit der sofortigen Beschwerde in entsprechender Anwendung der §§ 567 bis 572, 127 Abs. 2 bis 4 der Zivilprozessordnung anfechtbar.</w:t>
      </w:r>
    </w:p>
    <w:p>
      <w:r>
        <w:rPr>
          <w:color w:val="555555"/>
          <w:sz w:val="17"/>
        </w:rPr>
        <w:t xml:space="preserve">Zitiervorschlag: § 76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