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FamFG — Sprungrechtsbeschwerde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die im ersten Rechtszug erlassenen Beschlüsse, die ohne Zulassung der Beschwerde unterliegen, findet auf Antrag unter Übergehung der Beschwerdeinstanz unmittelbar die Rechtsbeschwerde (Sprungrechtsbeschwerde) statt, wenn</w:t>
      </w:r>
    </w:p>
    <w:p>
      <w:pPr>
        <w:ind w:left="420"/>
      </w:pPr>
      <w:r>
        <w:t xml:space="preserve">1. die Beteiligten in die Übergehung der Beschwerdeinstanz einwilligen und</w:t>
      </w:r>
    </w:p>
    <w:p>
      <w:pPr>
        <w:ind w:left="420"/>
      </w:pPr>
      <w:r>
        <w:t xml:space="preserve">2. das Rechtsbeschwerdegericht die Sprungrechtsbeschwerde zulässt.</w:t>
      </w:r>
    </w:p>
    <w:p>
      <w:r>
        <w:t xml:space="preserve">Der Antrag auf Zulassung der Sprungrechtsbeschwerde und die Erklärung der Einwilligung gelten als Verzicht auf das Rechtsmittel der Beschwerde.</w:t>
      </w:r>
    </w:p>
    <w:p>
      <w:r>
        <w:t xml:space="preserve">(2) Die Sprungrechtsbeschwerde ist in der in § 63 bestimmten Frist einzulegen. Für das weitere Verfahren gilt § 566 Abs. 2 bis 8 der Zivilprozessordnung entsprechend.</w:t>
      </w:r>
    </w:p>
    <w:p>
      <w:r>
        <w:rPr>
          <w:color w:val="555555"/>
          <w:sz w:val="17"/>
        </w:rPr>
        <w:t xml:space="preserve">Zitiervorschlag: § 75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