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FamFG — Zurückweisungsbeschluss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Rechtsbeschwerdegericht weist die vom Beschwerdegericht zugelassene Rechtsbeschwerde durch einstimmigen Beschluss ohne mündliche Verhandlung oder Erörterung im Termin zurück, wenn es davon überzeugt ist, dass die Voraussetzungen für die Zulassung der Rechtsbeschwerde nicht vorliegen und die Rechtsbeschwerde keine Aussicht auf Erfolg hat.</w:t>
      </w:r>
    </w:p>
    <w:p>
      <w:r>
        <w:t xml:space="preserve">(2) Das Rechtsbeschwerdegericht oder der Vorsitzende hat zuvor die Beteiligten auf die beabsichtigte Zurückweisung der Rechtsbeschwerde und die Gründe hierfür hinzuweisen und dem Rechtsbeschwerdeführer binnen einer zu bestimmenden Frist Gelegenheit zur Stellungnahme zu geben.</w:t>
      </w:r>
    </w:p>
    <w:p>
      <w:r>
        <w:t xml:space="preserve">(3) Der Beschluss nach Absatz 1 ist zu begründen, soweit die Gründe für die Zurückweisung nicht bereits in dem Hinweis nach Absatz 2 enthalten sind.</w:t>
      </w:r>
    </w:p>
    <w:p>
      <w:r>
        <w:rPr>
          <w:color w:val="555555"/>
          <w:sz w:val="17"/>
        </w:rPr>
        <w:t xml:space="preserve">Zitiervorschlag: § 74a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