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FamFG — Statthaftigkeit der Rechtsbeschwerde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 Rechtsbeschwerde eines Beteiligten ist statthaft, wenn sie das Beschwerdegericht oder das Oberlandesgericht im ersten Rechtszug in dem Beschluss zugelassen hat.</w:t>
      </w:r>
    </w:p>
    <w:p>
      <w:r>
        <w:t xml:space="preserve">(2) Die Rechtsbeschwerde ist zuzulassen, wenn</w:t>
      </w:r>
    </w:p>
    <w:p>
      <w:pPr>
        <w:ind w:left="420"/>
      </w:pPr>
      <w:r>
        <w:t xml:space="preserve">1. die Rechtssache grundsätzliche Bedeutung hat oder</w:t>
      </w:r>
    </w:p>
    <w:p>
      <w:pPr>
        <w:ind w:left="420"/>
      </w:pPr>
      <w:r>
        <w:t xml:space="preserve">2. die Fortbildung des Rechts oder die Sicherung einer einheitlichen Rechtsprechung eine Entscheidung des Rechtsbeschwerdegerichts erfordert.</w:t>
      </w:r>
    </w:p>
    <w:p>
      <w:r>
        <w:t xml:space="preserve">Das Rechtsbeschwerdegericht ist an die Zulassung gebunden.</w:t>
      </w:r>
    </w:p>
    <w:p>
      <w:r>
        <w:t xml:space="preserve">(3) Die Rechtsbeschwerde gegen einen Beschluss des Beschwerdegerichts ist ohne Zulassung statthaft in</w:t>
      </w:r>
    </w:p>
    <w:p>
      <w:pPr>
        <w:ind w:left="420"/>
      </w:pPr>
      <w:r>
        <w:t xml:space="preserve">1. Betreuungssachen zur Bestellung eines Betreuers, zur Aufhebung einer Betreuung, zur Anordnung oder Aufhebung eines Einwilligungsvorbehalts,</w:t>
      </w:r>
    </w:p>
    <w:p>
      <w:pPr>
        <w:ind w:left="420"/>
      </w:pPr>
      <w:r>
        <w:t xml:space="preserve">2. Unterbringungssachen und Verfahren nach § 151 Nr. 6 und 7 sowie</w:t>
      </w:r>
    </w:p>
    <w:p>
      <w:pPr>
        <w:ind w:left="420"/>
      </w:pPr>
      <w:r>
        <w:t xml:space="preserve">3. Freiheitsentziehungssachen.</w:t>
      </w:r>
    </w:p>
    <w:p>
      <w:r>
        <w:t xml:space="preserve">In den Fällen des Satzes 1 Nr. 2 und 3 gilt dies nur, wenn sich die Rechtsbeschwerde gegen den Beschluss richtet, der die Unterbringungsmaßnahme oder die Freiheitsentziehung anordnet. In den Fällen des Satzes 1 Nummer 3 ist die Rechtsbeschwerde abweichend von Satz 2 auch dann ohne Zulassung statthaft, wenn sie sich gegen den eine freiheitsentziehende Maßnahme ablehnenden oder zurückweisenden Beschluss in den in § 417 Absatz 2 Satz 2 Nummer 5 genannten Verfahren richtet.</w:t>
      </w:r>
    </w:p>
    <w:p>
      <w:r>
        <w:t xml:space="preserve">(4) Gegen einen Beschluss im Verfahren über die Anordnung, Abänderung oder Aufhebung einer einstweiligen Anordnung oder eines Arrests findet die Rechtsbeschwerde nicht statt.</w:t>
      </w:r>
    </w:p>
    <w:p>
      <w:r>
        <w:rPr>
          <w:color w:val="555555"/>
          <w:sz w:val="17"/>
        </w:rPr>
        <w:t xml:space="preserve">Zitiervorschlag: § 70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