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FamFG — Gang des Beschwerdeverfahrens</w:t>
      </w:r>
    </w:p>
    <w:p>
      <w:r>
        <w:rPr>
          <w:color w:val="555555"/>
          <w:sz w:val="18"/>
        </w:rPr>
        <w:t xml:space="preserve">Gesetz über das Verfahren in Familiensachen und in den Angelegenheiten der freiwilligen Gerichtsbarkeit</w:t>
      </w:r>
    </w:p>
    <w:p>
      <w:r>
        <w:rPr>
          <w:color w:val="555555"/>
          <w:sz w:val="18"/>
        </w:rPr>
        <w:t xml:space="preserve">Stand: 01.07.2021 (konsolidierte Textfassung, kein amtliches Inkrafttretensdatum)</w:t>
      </w:r>
    </w:p>
    <w:p>
      <w:r>
        <w:t xml:space="preserve">(1) Hält das Gericht, dessen Beschluss angefochten wird, die Beschwerde für begründet, hat es ihr abzuhelfen; anderenfalls ist die Beschwerde unverzüglich dem Beschwerdegericht vorzulegen. Das Gericht ist zur Abhilfe nicht befugt, wenn die Beschwerde sich gegen eine Endentscheidung in einer Familiensache richtet.</w:t>
      </w:r>
    </w:p>
    <w:p>
      <w:r>
        <w:t xml:space="preserve">(2) Das Beschwerdegericht hat zu prüfen, ob die Beschwerde an sich statthaft und ob sie in der gesetzlichen Form und Frist eingelegt ist. Mangelt es an einem dieser Erfordernisse, ist die Beschwerde als unzulässig zu verwerfen.</w:t>
      </w:r>
    </w:p>
    <w:p>
      <w:r>
        <w:t xml:space="preserve">(3) Das Beschwerdeverfahren bestimmt sich im Übrigen nach den Vorschriften über das Verfahren im ersten Rechtszug. Das Beschwerdegericht kann von der Durchführung eines Termins, einer mündlichen Verhandlung oder einzelner Verfahrenshandlungen absehen, wenn diese bereits im ersten Rechtszug vorgenommen wurden und von einer erneuten Vornahme keine zusätzlichen Erkenntnisse zu erwarten sind.</w:t>
      </w:r>
    </w:p>
    <w:p>
      <w:r>
        <w:t xml:space="preserve">(4) Das Beschwerdegericht kann die Beschwerde durch Beschluss einem seiner Mitglieder zur Entscheidung als Einzelrichter übertragen; § 526 der Zivilprozessordnung gilt mit der Maßgabe entsprechend, dass eine Übertragung auf einen Richter auf Probe ausgeschlossen ist. Zudem kann das Beschwerdegericht die persönliche Anhörung des Kindes durch Beschluss einem seiner Mitglieder als beauftragtem Richter übertragen, wenn es dies aus Gründen des Kindeswohls für sachgerecht hält oder das Kind offensichtlich nicht in der Lage ist, seine Neigungen und seinen Willen kundzutun. Gleiches gilt für die Verschaffung eines persönlichen Eindrucks von dem Kind.</w:t>
      </w:r>
    </w:p>
    <w:p>
      <w:r>
        <w:t xml:space="preserve">(5) Absatz 3 Satz 2 und Absatz 4 Satz 1 finden keine Anwendung, wenn die Beschwerde ein Hauptsacheverfahren betrifft, in dem eine der folgenden Entscheidungen in Betracht kommt:</w:t>
      </w:r>
    </w:p>
    <w:p>
      <w:pPr>
        <w:ind w:left="420"/>
      </w:pPr>
      <w:r>
        <w:t xml:space="preserve">1. die teilweise oder vollständige Entziehung der Personensorge nach den §§ 1666 und 1666a des Bürgerlichen Gesetzbuchs,</w:t>
      </w:r>
    </w:p>
    <w:p>
      <w:pPr>
        <w:ind w:left="420"/>
      </w:pPr>
      <w:r>
        <w:t xml:space="preserve">2. der Ausschluss des Umgangsrechts nach § 1684 des Bürgerlichen Gesetzbuchs oder</w:t>
      </w:r>
    </w:p>
    <w:p>
      <w:pPr>
        <w:ind w:left="420"/>
      </w:pPr>
      <w:r>
        <w:t xml:space="preserve">3. eine Verbleibensanordnung nach § 1632 Absatz 4 oder § 1682 des Bürgerlichen Gesetzbuchs.</w:t>
      </w:r>
    </w:p>
    <w:p>
      <w:r>
        <w:rPr>
          <w:color w:val="555555"/>
          <w:sz w:val="17"/>
        </w:rPr>
        <w:t xml:space="preserve">Zitiervorschlag: § 68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