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FamFG — Verzicht auf die Beschwerde; Rücknahme der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Beschwerde ist unzulässig, wenn der Beschwerdeführer hierauf nach Bekanntgabe des Beschlusses durch Erklärung gegenüber dem Gericht verzichtet hat.</w:t>
      </w:r>
    </w:p>
    <w:p>
      <w:r>
        <w:t xml:space="preserve">(2) Die Anschlussbeschwerde ist unzulässig, wenn der Anschlussbeschwerdeführer hierauf nach Einlegung des Hauptrechtsmittels durch Erklärung gegenüber dem Gericht verzichtet hat.</w:t>
      </w:r>
    </w:p>
    <w:p>
      <w:r>
        <w:t xml:space="preserve">(3) Der gegenüber einem anderen Beteiligten erklärte Verzicht hat die Unzulässigkeit der Beschwerde nur dann zur Folge, wenn dieser sich darauf beruft.</w:t>
      </w:r>
    </w:p>
    <w:p>
      <w:r>
        <w:t xml:space="preserve">(4) Der Beschwerdeführer kann die Beschwerde bis zum Erlass der Beschwerdeentscheidung durch Erklärung gegenüber dem Gericht zurücknehmen.</w:t>
      </w:r>
    </w:p>
    <w:p>
      <w:r>
        <w:rPr>
          <w:color w:val="555555"/>
          <w:sz w:val="17"/>
        </w:rPr>
        <w:t xml:space="preserve">Zitiervorschlag: § 67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