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FamFG — Beschwerdebegründung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Beschwerde soll begründet werden.</w:t>
      </w:r>
    </w:p>
    <w:p>
      <w:r>
        <w:t xml:space="preserve">(2) Das Beschwerdegericht oder der Vorsitzende kann dem Beschwerdeführer eine Frist zur Begründung der Beschwerde einräumen.</w:t>
      </w:r>
    </w:p>
    <w:p>
      <w:r>
        <w:t xml:space="preserve">(3) Die Beschwerde kann auf neue Tatsachen und Beweismittel gestützt werden.</w:t>
      </w:r>
    </w:p>
    <w:p>
      <w:r>
        <w:t xml:space="preserve">(4) Die Beschwerde kann nicht darauf gestützt werden, dass das Gericht des ersten Rechtszugs seine Zuständigkeit zu Unrecht angenommen hat.</w:t>
      </w:r>
    </w:p>
    <w:p>
      <w:r>
        <w:rPr>
          <w:color w:val="555555"/>
          <w:sz w:val="17"/>
        </w:rPr>
        <w:t xml:space="preserve">Zitiervorschlag: § 65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