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64 FamFG — Einlegung der Beschwerde</w:t>
      </w:r>
    </w:p>
    <w:p>
      <w:r>
        <w:rPr>
          <w:color w:val="555555"/>
          <w:sz w:val="18"/>
        </w:rPr>
        <w:t xml:space="preserve">Gesetz über das Verfahren in Familiensachen und in den Angelegenheiten der freiwilligen Gerichtsbarkeit</w:t>
      </w:r>
    </w:p>
    <w:p>
      <w:r>
        <w:rPr>
          <w:color w:val="555555"/>
          <w:sz w:val="18"/>
        </w:rPr>
        <w:t xml:space="preserve">Stand: 20.07.2024 (konsolidierte Textfassung, kein amtliches Inkrafttretensdatum)</w:t>
      </w:r>
    </w:p>
    <w:p>
      <w:r>
        <w:t xml:space="preserve">(1) Die Beschwerde ist bei dem Gericht einzulegen, dessen Beschluss angefochten wird. Anträge auf Bewilligung von Verfahrenskostenhilfe für eine beabsichtigte Beschwerde sind bei dem Gericht einzulegen, dessen Beschluss angefochten werden soll.</w:t>
      </w:r>
    </w:p>
    <w:p>
      <w:r>
        <w:t xml:space="preserve">(2) Die Beschwerde wird durch Einreichung einer von dem Beschwerdeführer oder seinem Bevollmächtigten unterzeichneten Beschwerdeschrift oder zur Niederschrift der Geschäftsstelle eingelegt. Die Einlegung der Beschwerde zur Niederschrift der Geschäftsstelle ist in Ehesachen und in Familienstreitsachen ausgeschlossen. Die Beschwerde muss die Bezeichnung des angefochtenen Beschlusses sowie die Erklärung enthalten, dass Beschwerde gegen diesen Beschluss eingelegt wird. § 25 Absatz 2 bis 4 gilt entsprechend.</w:t>
      </w:r>
    </w:p>
    <w:p>
      <w:r>
        <w:t xml:space="preserve">(3) Das Beschwerdegericht kann vor der Entscheidung eine einstweilige Anordnung erlassen; es kann insbesondere anordnen, dass die Vollziehung des angefochtenen Beschlusses auszusetzen ist.</w:t>
      </w:r>
    </w:p>
    <w:p>
      <w:r>
        <w:rPr>
          <w:color w:val="555555"/>
          <w:sz w:val="17"/>
        </w:rPr>
        <w:t xml:space="preserve">Zitiervorschlag: § 64 FamFG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https://recht.nulegal.eu/gesetze/FamFG/64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