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FamFG — Beschwerdewert; Zulassungsbeschwerde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In vermögensrechtlichen Angelegenheiten ist die Beschwerde nur zulässig, wenn der Wert des Beschwerdegegenstandes 1 000 Euro übersteigt.</w:t>
      </w:r>
    </w:p>
    <w:p>
      <w:r>
        <w:t xml:space="preserve">(2) Übersteigt der Beschwerdegegenstand nicht den in Absatz 1 genannten Betrag, ist die Beschwerde zulässig, wenn das Gericht des ersten Rechtszugs die Beschwerde zugelassen hat.</w:t>
      </w:r>
    </w:p>
    <w:p>
      <w:r>
        <w:t xml:space="preserve">(3) Das Gericht des ersten Rechtszugs lässt die Beschwerde zu, wenn</w:t>
      </w:r>
    </w:p>
    <w:p>
      <w:pPr>
        <w:ind w:left="420"/>
      </w:pPr>
      <w:r>
        <w:t xml:space="preserve">1. die Rechtssache grundsätzliche Bedeutung hat oder die Fortbildung des Rechts oder die Sicherung einer einheitlichen Rechtsprechung eine Entscheidung des Beschwerdegerichts erfordert und</w:t>
      </w:r>
    </w:p>
    <w:p>
      <w:pPr>
        <w:ind w:left="420"/>
      </w:pPr>
      <w:r>
        <w:t xml:space="preserve">2. der Beteiligte durch den Beschluss mit nicht mehr als 1 000 Euro beschwert ist.</w:t>
      </w:r>
    </w:p>
    <w:p>
      <w:r>
        <w:t xml:space="preserve">Das Beschwerdegericht ist an die Zulassung gebunden.</w:t>
      </w:r>
    </w:p>
    <w:p>
      <w:r>
        <w:rPr>
          <w:color w:val="555555"/>
          <w:sz w:val="17"/>
        </w:rPr>
        <w:t xml:space="preserve">Zitiervorschlag: § 61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