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FamFG — Beschwerdeberechtigte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Beschwerde steht demjenigen zu, der durch den Beschluss in seinen Rechten beeinträchtigt ist.</w:t>
      </w:r>
    </w:p>
    <w:p>
      <w:r>
        <w:t xml:space="preserve">(2) Wenn ein Beschluss nur auf Antrag erlassen werden kann und der Antrag zurückgewiesen worden ist, steht die Beschwerde nur dem Antragsteller zu.</w:t>
      </w:r>
    </w:p>
    <w:p>
      <w:r>
        <w:t xml:space="preserve">(3) Die Beschwerdeberechtigung von Behörden bestimmt sich nach den besonderen Vorschriften dieses oder eines anderen Gesetzes.</w:t>
      </w:r>
    </w:p>
    <w:p>
      <w:r>
        <w:rPr>
          <w:color w:val="555555"/>
          <w:sz w:val="17"/>
        </w:rPr>
        <w:t xml:space="preserve">Zitiervorschlag: § 59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