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FamFG — Statthaftigkeit der 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findet gegen die im ersten Rechtszug ergangenen Endentscheidungen der Amtsgerichte und Landgerichte in Angelegenheiten nach diesem Gesetz statt, sofern durch Gesetz nichts anderes bestimmt ist.</w:t>
      </w:r>
    </w:p>
    <w:p>
      <w:r>
        <w:t xml:space="preserve">(2) Der Beurteilung des Beschwerdegerichts unterliegen auch die nicht selbständig anfechtbaren Entscheidungen, die der Endentscheidung vorausgegangen sind.</w:t>
      </w:r>
    </w:p>
    <w:p>
      <w:r>
        <w:rPr>
          <w:color w:val="555555"/>
          <w:sz w:val="17"/>
        </w:rPr>
        <w:t xml:space="preserve">Zitiervorschlag: § 58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