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FamFG — Rechtsmittel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Entscheidungen in Verfahren der einstweiligen Anordnung in Familiensachen sind nicht anfechtbar. Dies gilt nicht in Verfahren nach § 151 Nummer 6 und 7 und auch nicht, wenn das Gericht des ersten Rechtszugs auf Grund mündlicher Erörterung</w:t>
      </w:r>
    </w:p>
    <w:p>
      <w:pPr>
        <w:ind w:left="420"/>
      </w:pPr>
      <w:r>
        <w:t xml:space="preserve">1. über die elterliche Sorge für ein Kind,</w:t>
      </w:r>
    </w:p>
    <w:p>
      <w:pPr>
        <w:ind w:left="420"/>
      </w:pPr>
      <w:r>
        <w:t xml:space="preserve">2. über die Herausgabe des Kindes an den anderen Elternteil,</w:t>
      </w:r>
    </w:p>
    <w:p>
      <w:pPr>
        <w:ind w:left="420"/>
      </w:pPr>
      <w:r>
        <w:t xml:space="preserve">3. über einen Antrag auf Verbleiben eines Kindes bei einer Pflege- oder Bezugsperson,</w:t>
      </w:r>
    </w:p>
    <w:p>
      <w:pPr>
        <w:ind w:left="420"/>
      </w:pPr>
      <w:r>
        <w:t xml:space="preserve">4. über einen Antrag nach den §§ 1 und 2 des Gewaltschutzgesetzes oder</w:t>
      </w:r>
    </w:p>
    <w:p>
      <w:pPr>
        <w:ind w:left="420"/>
      </w:pPr>
      <w:r>
        <w:t xml:space="preserve">5. in einer Ehewohnungssache über einen Antrag auf Zuweisung der Wohnung</w:t>
      </w:r>
    </w:p>
    <w:p>
      <w:r>
        <w:t xml:space="preserve">entschieden hat.</w:t>
      </w:r>
    </w:p>
    <w:p>
      <w:r>
        <w:rPr>
          <w:color w:val="555555"/>
          <w:sz w:val="17"/>
        </w:rPr>
        <w:t xml:space="preserve">Zitiervorschlag: § 57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