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FamFG — Aussetzung der Vollstreckung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Fällen des § 54 kann das Gericht, im Fall des § 57 das Rechtsmittelgericht, die Vollstreckung einer einstweiligen Anordnung aussetzen oder beschränken. Der Beschluss ist nicht anfechtbar.</w:t>
      </w:r>
    </w:p>
    <w:p>
      <w:r>
        <w:t xml:space="preserve">(2) Wenn ein hierauf gerichteter Antrag gestellt wird, ist über diesen vorab zu entscheiden.</w:t>
      </w:r>
    </w:p>
    <w:p>
      <w:r>
        <w:rPr>
          <w:color w:val="555555"/>
          <w:sz w:val="17"/>
        </w:rPr>
        <w:t xml:space="preserve">Zitiervorschlag: § 55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