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FamFG — Aufhebung oder Änderung der Entscheidung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die Entscheidung in der einstweiligen Anordnungssache aufheben oder ändern. Die Aufhebung oder Änderung erfolgt nur auf Antrag, wenn ein entsprechendes Hauptsacheverfahren nur auf Antrag eingeleitet werden kann. Dies gilt nicht, wenn die Entscheidung ohne vorherige Durchführung einer nach dem Gesetz notwendigen Anhörung erlassen wurde.</w:t>
      </w:r>
    </w:p>
    <w:p>
      <w:r>
        <w:t xml:space="preserve">(2) Ist die Entscheidung in einer Familiensache ohne mündliche Verhandlung ergangen, ist auf Antrag auf Grund mündlicher Verhandlung erneut zu entscheiden.</w:t>
      </w:r>
    </w:p>
    <w:p>
      <w:r>
        <w:t xml:space="preserve">(3) Zuständig ist das Gericht, das die einstweilige Anordnung erlassen hat. Hat es die Sache an ein anderes Gericht abgegeben oder verwiesen, ist dieses zuständig.</w:t>
      </w:r>
    </w:p>
    <w:p>
      <w:r>
        <w:t xml:space="preserve">(4) Während eine einstweilige Anordnungssache beim Beschwerdegericht anhängig ist, ist die Aufhebung oder Änderung der angefochtenen Entscheidung durch das erstinstanzliche Gericht unzulässig.</w:t>
      </w:r>
    </w:p>
    <w:p>
      <w:r>
        <w:rPr>
          <w:color w:val="555555"/>
          <w:sz w:val="17"/>
        </w:rPr>
        <w:t xml:space="preserve">Zitiervorschlag: § 54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