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FamFG — Einleitung des Hauptsacheverfahrens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Ist eine einstweilige Anordnung erlassen, hat das Gericht auf Antrag eines Beteiligten das Hauptsacheverfahren einzuleiten. Das Gericht kann mit Erlass der einstweiligen Anordnung eine Frist bestimmen, vor deren Ablauf der Antrag unzulässig ist. Die Frist darf drei Monate nicht überschreiten.</w:t>
      </w:r>
    </w:p>
    <w:p>
      <w:r>
        <w:t xml:space="preserve">(2) In Verfahren, die nur auf Antrag eingeleitet werden, hat das Gericht auf Antrag anzuordnen, dass der Beteiligte, der die einstweilige Anordnung erwirkt hat, binnen einer zu bestimmenden Frist Antrag auf Einleitung des Hauptsacheverfahrens oder Antrag auf Bewilligung von Verfahrenskostenhilfe für das Hauptsacheverfahren stellt. Die Frist darf drei Monate nicht überschreiten. Wird dieser Anordnung nicht Folge geleistet, ist die einstweilige Anordnung aufzuheben.</w:t>
      </w:r>
    </w:p>
    <w:p>
      <w:r>
        <w:rPr>
          <w:color w:val="555555"/>
          <w:sz w:val="17"/>
        </w:rPr>
        <w:t xml:space="preserve">Zitiervorschlag: § 52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