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FamFG —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Zuständig ist das Gericht, das für die Hauptsache im ersten Rechtszug zuständig wäre. Ist eine Hauptsache anhängig, ist das Gericht des ersten Rechtszugs, während der Anhängigkeit beim Beschwerdegericht das Beschwerdegericht zuständig.</w:t>
      </w:r>
    </w:p>
    <w:p>
      <w:r>
        <w:t xml:space="preserve">(2) In besonders dringenden Fällen kann auch das Amtsgericht entscheiden, in dessen Bezirk das Bedürfnis für ein gerichtliches Tätigwerden bekannt wird oder sich die Person oder die Sache befindet, auf die sich die einstweilige Anordnung bezieht. Es hat das Verfahren unverzüglich von Amts wegen an das nach Absatz 1 zuständige Gericht abzugeben.</w:t>
      </w:r>
    </w:p>
    <w:p>
      <w:r>
        <w:rPr>
          <w:color w:val="555555"/>
          <w:sz w:val="17"/>
        </w:rPr>
        <w:t xml:space="preserve">Zitiervorschlag: § 50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