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493 FamFG — Übergangsvorschriften</w:t>
      </w:r>
    </w:p>
    <w:p>
      <w:r>
        <w:rPr>
          <w:color w:val="555555"/>
          <w:sz w:val="18"/>
        </w:rPr>
        <w:t xml:space="preserve">Gesetz über das Verfahren in Familiensachen und in den Angelegenheiten der freiwilligen Gerichtsbarkeit</w:t>
      </w:r>
    </w:p>
    <w:p>
      <w:r>
        <w:rPr>
          <w:color w:val="555555"/>
          <w:sz w:val="18"/>
        </w:rPr>
        <w:t xml:space="preserve">Stand: 01.01.2026 (konsolidierte Textfassung, kein amtliches Inkrafttretensdatum)</w:t>
      </w:r>
    </w:p>
    <w:p>
      <w:r>
        <w:t xml:space="preserve">(1) Für bis zum Inkrafttreten des Gesetzes zur Übertragung von Aufgaben im Bereich der freiwilligen Gerichtsbarkeit auf Notare vom 26. Juni 2013 (BGBl. I S. 1800) am 1. September 2013 beantragte Auseinandersetzungen gemäß den §§ 363 bis 373 ist das Gesetz über das Verfahren in Familiensachen und in den Angelegenheiten der freiwilligen Gerichtsbarkeit in der bis dahin geltenden Fassung anzuwenden.</w:t>
      </w:r>
    </w:p>
    <w:p>
      <w:r>
        <w:t xml:space="preserve">(2) Auf vereinfachte Verfahren über den Unterhalt Minderjähriger nach den §§ 249 bis 260, die bis zum 31. Dezember 2016 beantragt wurden, sind die §§ 249 bis 260 in der bis dahin geltenden Fassung weiter anzuwenden.</w:t>
      </w:r>
    </w:p>
    <w:p>
      <w:r>
        <w:t xml:space="preserve">(3) Für Anmeldungen, die bis einschließlich 8. Juni 2017 beurkundet oder beglaubigt wurden, findet § 378 Absatz 3 keine Anwendung.</w:t>
      </w:r>
    </w:p>
    <w:p>
      <w:r>
        <w:t xml:space="preserve">(4) § 158a findet keine Anwendung in Verfahren, in denen ein Verfahrensbeistand vor dem 1. Januar 2022 bestellt worden ist. Auf Verfahrensbeistandschaften, die bis einschließlich 10. April 2025 angeordnet wurden, ist § 158c Absatz 1 nicht anzuwenden; insoweit ist § 158c Absatz 1 in der bis dahin geltenden Fassung weiter anzuwenden.</w:t>
      </w:r>
    </w:p>
    <w:p>
      <w:r>
        <w:t xml:space="preserve">(5) Wenn Betreuung oder Einwilligungsvorbehalt vor dem 1. Januar 2023 angeordnet wurde, müssen erstmalige Entscheidungen über die Aufhebung oder Verlängerung der Maßnahme abweichend von den in § 294 Absatz 3 Satz 2 und § 295 Absatz 2 Satz 2 genannten Fristen zu folgenden Zeitpunkten erfolgen:</w:t>
      </w:r>
    </w:p>
    <w:p>
      <w:pPr>
        <w:ind w:left="420"/>
      </w:pPr>
      <w:r>
        <w:t xml:space="preserve">1. über Maßnahmen, die bis zum Ablauf des 30. Juni 2022 angeordnet wurden, bis spätestens zum Ablauf des 30. Juni 2024,</w:t>
      </w:r>
    </w:p>
    <w:p>
      <w:pPr>
        <w:ind w:left="420"/>
      </w:pPr>
      <w:r>
        <w:t xml:space="preserve">2. über Maßnahmen, die zwischen dem 1. Juli 2022 und dem 31. Dezember 2022 angeordnet wurden, spätestens zwei Jahre nach der Anordnung.</w:t>
      </w:r>
    </w:p>
    <w:p>
      <w:r>
        <w:t xml:space="preserve">(6) Der § 61 Absatz 1 und 3 Satz 1 Nummer 2 ist in seiner bis einschließlich 31. Dezember 2025 geltenden Fassung weiter anzuwenden, wenn</w:t>
      </w:r>
    </w:p>
    <w:p>
      <w:pPr>
        <w:ind w:left="420"/>
      </w:pPr>
      <w:r>
        <w:t xml:space="preserve">1. die anzufechtende Entscheidung bis einschließlich 31. Dezember 2025 erlassen worden ist, oder</w:t>
      </w:r>
    </w:p>
    <w:p>
      <w:pPr>
        <w:ind w:left="420"/>
      </w:pPr>
      <w:r>
        <w:t xml:space="preserve">2. bei Entscheidungen in Familienstreitsachen oder bei Entscheidungen im Verbund nach § 137 Absatz 1 die mündliche Verhandlung, auf die die anzufechtende Entscheidung ergeht, bis einschließlich 31. Dezember 2025 geschlossen worden ist.</w:t>
      </w:r>
    </w:p>
    <w:p>
      <w:r>
        <w:t xml:space="preserve">Ergeht eine Entscheidung nach Satz 1 Nummer 2 im schriftlichen Verfahren, tritt an die Stelle des Schlusses der mündlichen Verhandlung der Zeitpunkt, bis zu dem Schriftsätze eingereicht werden konnten.</w:t>
      </w:r>
    </w:p>
    <w:p>
      <w:r>
        <w:rPr>
          <w:color w:val="555555"/>
          <w:sz w:val="17"/>
        </w:rPr>
        <w:t xml:space="preserve">Zitiervorschlag: § 493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https://recht.nulegal.eu/gesetze/FamFG/493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