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FamFG — Einstweilige Anordnung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kann durch einstweilige Anordnung eine vorläufige Maßnahme treffen, soweit dies nach den für das Rechtsverhältnis maßgebenden Vorschriften gerechtfertigt ist und ein dringendes Bedürfnis für ein sofortiges Tätigwerden besteht.</w:t>
      </w:r>
    </w:p>
    <w:p>
      <w:r>
        <w:t xml:space="preserve">(2) Die Maßnahme kann einen bestehenden Zustand sichern oder vorläufig regeln. Einem Beteiligten kann eine Handlung geboten oder verboten, insbesondere die Verfügung über einen Gegenstand untersagt werden. Das Gericht kann mit der einstweiligen Anordnung auch die zu ihrer Durchführung erforderlichen Anordnungen treffen.</w:t>
      </w:r>
    </w:p>
    <w:p>
      <w:r>
        <w:rPr>
          <w:color w:val="555555"/>
          <w:sz w:val="17"/>
        </w:rPr>
        <w:t xml:space="preserve">Zitiervorschlag: § 49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