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489 FamFG — Rechtsmittel</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Sind für die in § 1 genannten Angelegenheiten nach Landesgesetz anstelle der Gerichte Behörden zuständig, kann durch Landesgesetz bestimmt werden, dass für die Abänderung einer Entscheidung dieser Behörde das Amtsgericht zuständig ist, in dessen Bezirk die Behörde ihren Sitz hat. Auf das Verfahren sind die §§ 59 bis 69 entsprechend anzuwenden.</w:t>
      </w:r>
    </w:p>
    <w:p>
      <w:r>
        <w:t xml:space="preserve">(2) Gegen die Entscheidung des Amtsgerichts findet die Beschwerde statt.</w:t>
      </w:r>
    </w:p>
    <w:p>
      <w:r>
        <w:rPr>
          <w:color w:val="555555"/>
          <w:sz w:val="17"/>
        </w:rPr>
        <w:t xml:space="preserve">Zitiervorschlag: § 489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