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487 FamFG — Nachlassauseinandersetzung; Auseinandersetzung einer Gütergemeinschaft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Unberührt bleiben die landesrechtlichen Vorschriften,</w:t>
      </w:r>
    </w:p>
    <w:p>
      <w:pPr>
        <w:ind w:left="420"/>
      </w:pPr>
      <w:r>
        <w:t xml:space="preserve">1. nach denen das Nachlassgericht die Auseinandersetzung eines Nachlasses von Amts wegen zu vermitteln hat, wenn diese nicht binnen einer bestimmten Frist erfolgt ist;</w:t>
      </w:r>
    </w:p>
    <w:p>
      <w:pPr>
        <w:ind w:left="420"/>
      </w:pPr>
      <w:r>
        <w:t xml:space="preserve">2. nach denen andere als gerichtliche Behörden für die den Amtsgerichten nach § 373 Absatz 2 obliegenden Aufgaben zuständig sind;</w:t>
      </w:r>
    </w:p>
    <w:p>
      <w:pPr>
        <w:ind w:left="420"/>
      </w:pPr>
      <w:r>
        <w:t xml:space="preserve">3. nach denen in Baden-Württemberg in den Fällen des § 363 anstelle der Notare oder neben diesen andere Stellen die Auseinandersetzung vermitteln;</w:t>
      </w:r>
    </w:p>
    <w:p>
      <w:pPr>
        <w:ind w:left="420"/>
      </w:pPr>
      <w:r>
        <w:t xml:space="preserve">4. die das Verfahren in den Fällen nach Nummer 3 betreffen.</w:t>
      </w:r>
    </w:p>
    <w:p>
      <w:r>
        <w:t xml:space="preserve">(2) Auf die Auseinandersetzung nach Absatz 1 Nr. 1 sind die §§ 365 bis 372 anzuwenden.</w:t>
      </w:r>
    </w:p>
    <w:p>
      <w:r>
        <w:rPr>
          <w:color w:val="555555"/>
          <w:sz w:val="17"/>
        </w:rPr>
        <w:t xml:space="preserve">Zitiervorschlag: § 487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