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486 FamFG — Landesrechtliche Vorbehalte; Ergänzungs- und Ausführungsbestimmungen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das Einführungsgesetz zum Bürgerlichen Gesetzbuche Rechtsgebiete der Landesgesetzgebung vorbehält, gilt dieser Vorbehalt auch für die entsprechenden Verfahrensvorschriften, soweit sie Gegenstand dieses Gesetzes sind.</w:t>
      </w:r>
    </w:p>
    <w:p>
      <w:r>
        <w:t xml:space="preserve">(2) Durch Landesgesetz können Vorschriften zur Ergänzung und Ausführung dieses Gesetzes, einschließlich der erforderlichen Übergangsvorschriften erlassen werden. Dies gilt auch, soweit keine Vorbehalte für die Landesgesetzgebung bestehen.</w:t>
      </w:r>
    </w:p>
    <w:p>
      <w:r>
        <w:t xml:space="preserve">(3) § 378 Absatz 3 gilt nicht, soweit Anmeldungen von einer gemäß § 68 des Beurkundungsgesetzes nach Landesrecht zuständigen Person oder Stelle öffentlich beglaubigt worden sind.</w:t>
      </w:r>
    </w:p>
    <w:p>
      <w:r>
        <w:rPr>
          <w:color w:val="555555"/>
          <w:sz w:val="17"/>
        </w:rPr>
        <w:t xml:space="preserve">Zitiervorschlag: § 486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