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484 FamFG — Vorbehalt für die Landesgesetzgebung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Bei Aufgeboten auf Grund der §§ 887, 927, 1104, 1112, 1162, 1170, 1171 des Bürgerlichen Gesetzbuchs, des § 110 des Binnenschifffahrtsgesetzes, der §§ 6, 13, 66, 67 des Gesetzes über Rechte an eingetragenen Schiffen und Schiffsbauwerken (BGBl. III 403-4) und der §§ 13, 66, 67 des Gesetzes über Rechte an Luftfahrzeugen können die Landesgesetze die Art der Veröffentlichung des Aufgebots und des Ausschließungsbeschlusses sowie die Aufgebotsfrist anders bestimmen als in den §§ 435, 437 und 441 vorgeschrieben ist.</w:t>
      </w:r>
    </w:p>
    <w:p>
      <w:r>
        <w:t xml:space="preserve">(2) Bei Aufgeboten, die auf Grund des § 1162 des Bürgerlichen Gesetzbuchs ergehen, können die Landesgesetze die Art der Veröffentlichung des Aufgebots, des Ausschließungsbeschlusses und des in § 478 Abs. 2 und 3 bezeichneten Beschlusses sowie die Aufgebotsfrist auch anders bestimmen, als in den §§ 470, 475, 476 und 478 vorgeschrieben ist.</w:t>
      </w:r>
    </w:p>
    <w:p>
      <w:r>
        <w:rPr>
          <w:color w:val="555555"/>
          <w:sz w:val="17"/>
        </w:rPr>
        <w:t xml:space="preserve">Zitiervorschlag: § 484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