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482 FamFG — Aufhebung der Zahlungssperre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das in Verlust gekommene Papier dem Gericht vorgelegt oder wird das Aufgebotsverfahren ohne Erlass eines Ausschließungsbeschlusses erledigt, so ist die Zahlungssperre von Amts wegen aufzuheben. Das Gleiche gilt, wenn die Zahlungssperre vor der Einleitung des Aufgebotsverfahrens angeordnet worden ist und die Einleitung nicht binnen sechs Monaten nach der Beseitigung des ihr entgegenstehenden Hindernisses beantragt wird. Ist das Aufgebot oder die Zahlungssperre öffentlich bekannt gemacht worden, so ist die Erledigung des Verfahrens oder die Aufhebung der Zahlungssperre von Amts wegen durch den Bundesanzeiger bekannt zu machen.</w:t>
      </w:r>
    </w:p>
    <w:p>
      <w:r>
        <w:t xml:space="preserve">(2) Wird das Papier vorgelegt, ist die Zahlungssperre erst aufzuheben, nachdem dem Antragsteller die Einsicht nach Maßgabe des § 477 gestattet worden ist.</w:t>
      </w:r>
    </w:p>
    <w:p>
      <w:r>
        <w:t xml:space="preserve">(3) Der Beschluss, durch den die Zahlungssperre aufgehoben wird, ist mit der sofortigen Beschwerde in entsprechender Anwendung der §§ 567 bis 572 der Zivilprozessordnung anfechtbar.</w:t>
      </w:r>
    </w:p>
    <w:p>
      <w:r>
        <w:rPr>
          <w:color w:val="555555"/>
          <w:sz w:val="17"/>
        </w:rPr>
        <w:t xml:space="preserve">Zitiervorschlag: § 482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