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480 FamFG — Zahlungssperre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Bezweckt das Aufgebotsverfahren die Kraftloserklärung eines auf den Inhaber lautenden Papiers, so hat das Gericht auf Antrag an den Aussteller sowie an die in dem Papier und die von dem Antragsteller bezeichneten Zahlstellen das Verbot zu erlassen, an den Inhaber des Papiers eine Leistung zu bewirken, insbesondere neue Zins-, Renten- oder Gewinnanteilscheine oder einen Erneuerungsschein auszugeben (Zahlungssperre). Mit dem Verbot ist die Benachrichtigung von der Einleitung des Aufgebotsverfahrens zu verbinden. Das Verbot ist in gleicher Weise wie das Aufgebot öffentlich bekannt zu machen.</w:t>
      </w:r>
    </w:p>
    <w:p>
      <w:r>
        <w:t xml:space="preserve">(2) Ein Beschluss, durch den der Antrag auf Erlass einer Zahlungssperre zurückgewiesen wird, ist mit der sofortigen Beschwerde in entsprechender Anwendung der §§ 567 bis 572 der Zivilprozessordnung anfechtbar.</w:t>
      </w:r>
    </w:p>
    <w:p>
      <w:r>
        <w:t xml:space="preserve">(3) Das an den Aussteller erlassene Verbot ist auch den Zahlstellen gegenüber wirksam, die nicht in dem Papier bezeichnet sind.</w:t>
      </w:r>
    </w:p>
    <w:p>
      <w:r>
        <w:t xml:space="preserve">(4) Die Einlösung der vor dem Verbot ausgegebenen Zins-, Renten- oder Gewinnanteilscheine wird von dem Verbot nicht betroffen.</w:t>
      </w:r>
    </w:p>
    <w:p>
      <w:r>
        <w:rPr>
          <w:color w:val="555555"/>
          <w:sz w:val="17"/>
        </w:rPr>
        <w:t xml:space="preserve">Zitiervorschlag: § 480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