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FamFG — Abänderung und Wiederaufnahme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des ersten Rechtszugs kann eine rechtskräftige Endentscheidung mit Dauerwirkung aufheben oder ändern, wenn sich die zugrunde liegende Sach- oder Rechtslage nachträglich wesentlich geändert hat. In Verfahren, die nur auf Antrag eingeleitet werden, erfolgt die Aufhebung oder Abänderung nur auf Antrag.</w:t>
      </w:r>
    </w:p>
    <w:p>
      <w:r>
        <w:t xml:space="preserve">(2) Ein rechtskräftig beendetes Verfahren kann in entsprechender Anwendung der Vorschriften des Buches 4 der Zivilprozessordnung wiederaufgenommen werden.</w:t>
      </w:r>
    </w:p>
    <w:p>
      <w:r>
        <w:t xml:space="preserve">(3) Gegen einen Beschluss, durch den die Genehmigung für ein Rechtsgeschäft erteilt oder verweigert wird, findet eine Wiedereinsetzung in den vorigen Stand, eine Rüge nach § 44, eine Abänderung oder eine Wiederaufnahme nicht statt, wenn die Genehmigung oder deren Verweigerung einem Dritten gegenüber wirksam geworden ist.</w:t>
      </w:r>
    </w:p>
    <w:p>
      <w:r>
        <w:rPr>
          <w:color w:val="555555"/>
          <w:sz w:val="17"/>
        </w:rPr>
        <w:t xml:space="preserve">Zitiervorschlag: § 48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