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479 FamFG — Wirkung des Ausschließungsbeschlusses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Derjenige, der den Ausschließungsbeschluss erwirkt hat, ist dem durch die Urkunde Verpflichteten gegenüber berechtigt, die Rechte aus der Urkunde geltend zu machen.</w:t>
      </w:r>
    </w:p>
    <w:p>
      <w:r>
        <w:t xml:space="preserve">(2) Wird der Ausschließungsbeschluss im Beschwerdeverfahren aufgehoben, bleiben die auf Grund des Ausschließungsbeschlusses von dem Verpflichteten bewirkten Leistungen auch Dritten, insbesondere dem Beschwerdeführer, gegenüber wirksam, es sei denn, dass der Verpflichtete zur Zeit der Leistung die Aufhebung des Ausschließungsbeschlusses gekannt hat.</w:t>
      </w:r>
    </w:p>
    <w:p>
      <w:r>
        <w:rPr>
          <w:color w:val="555555"/>
          <w:sz w:val="17"/>
        </w:rPr>
        <w:t xml:space="preserve">Zitiervorschlag: § 479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