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478 FamFG — Ausschließungsbeschluss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Ausschließungsbeschluss ist die Urkunde für kraftlos zu erklären.</w:t>
      </w:r>
    </w:p>
    <w:p>
      <w:r>
        <w:t xml:space="preserve">(2) Der Ausschließungsbeschluss ist seinem wesentlichen Inhalt nach durch Veröffentlichung im Bundesanzeiger bekannt zu machen. § 470 gilt entsprechend.</w:t>
      </w:r>
    </w:p>
    <w:p>
      <w:r>
        <w:t xml:space="preserve">(3) In gleicher Weise ist die auf eine Beschwerde ergangene Entscheidung bekannt zu machen, soweit durch sie die Kraftloserklärung aufgehoben wird.</w:t>
      </w:r>
    </w:p>
    <w:p>
      <w:r>
        <w:rPr>
          <w:color w:val="555555"/>
          <w:sz w:val="17"/>
        </w:rPr>
        <w:t xml:space="preserve">Zitiervorschlag: § 478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