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472 FamFG — Zinsscheine für mehr als vier Jahre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Wertpapieren, für die Zins-, Renten- oder Gewinnanteilscheine zuletzt für einen längeren Zeitraum als vier Jahre ausgegeben sind, genügt es, wenn der Anmeldezeitpunkt so bestimmt wird, dass bis dahin seit der Zeit des glaubhaft gemachten Verlustes von den zuletzt ausgegebenen Scheinen solche für vier Jahre fällig geworden und seit der Fälligkeit des letzten derselben sechs Monate abgelaufen sind. Scheine für Zeitabschnitte, für die keine Zinsen, Renten oder Gewinnanteile gezahlt werden, kommen nicht in Betracht.</w:t>
      </w:r>
    </w:p>
    <w:p>
      <w:r>
        <w:t xml:space="preserve">(2) Vor Erlass des Ausschließungsbeschlusses hat der Antragsteller ein nach Ablauf dieser sechsmonatigen Frist ausgestelltes Zeugnis der betreffenden Behörde, Kasse oder Anstalt beizubringen, dass die für die bezeichneten vier Jahre und später fällig gewordenen Scheine ihr von einem anderen als dem Antragsteller nicht vorgelegt seien. Hat in der Zeit seit dem Erlass des Aufgebots eine Ausgabe neuer Scheine stattgefunden, so muss das Zeugnis auch die in § 471 Abs. 2 bezeichneten Angaben enthalten.</w:t>
      </w:r>
    </w:p>
    <w:p>
      <w:r>
        <w:rPr>
          <w:color w:val="555555"/>
          <w:sz w:val="17"/>
        </w:rPr>
        <w:t xml:space="preserve">Zitiervorschlag: § 472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