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468 FamFG — Antragsbegründung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Antragsteller hat zur Begründung des Antrags</w:t>
      </w:r>
    </w:p>
    <w:p>
      <w:pPr>
        <w:ind w:left="420"/>
      </w:pPr>
      <w:r>
        <w:t xml:space="preserve">1. eine Abschrift der Urkunde beizubringen oder den wesentlichen Inhalt der Urkunde und alles anzugeben, was zu ihrer vollständigen Erkennbarkeit erforderlich ist,</w:t>
      </w:r>
    </w:p>
    <w:p>
      <w:pPr>
        <w:ind w:left="420"/>
      </w:pPr>
      <w:r>
        <w:t xml:space="preserve">2. den Verlust der Urkunde sowie diejenigen Tatsachen glaubhaft zu machen, von denen seine Berechtigung abhängt, das Aufgebotsverfahren zu beantragen, sowie</w:t>
      </w:r>
    </w:p>
    <w:p>
      <w:pPr>
        <w:ind w:left="420"/>
      </w:pPr>
      <w:r>
        <w:t xml:space="preserve">3. die Versicherung der Wahrheit seiner Angaben an Eides statt anzubieten.</w:t>
      </w:r>
    </w:p>
    <w:p>
      <w:r>
        <w:rPr>
          <w:color w:val="555555"/>
          <w:sz w:val="17"/>
        </w:rPr>
        <w:t xml:space="preserve">Zitiervorschlag: § 468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