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467 FamFG — Antragsberechtigter</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Bei Papieren, die auf den Inhaber lauten oder die durch Indossament übertragen werden können und mit einem Blankoindossament versehen sind, ist der bisherige Inhaber des abhandengekommenen oder vernichteten Papiers berechtigt, das Aufgebotsverfahren zu beantragen.</w:t>
      </w:r>
    </w:p>
    <w:p>
      <w:r>
        <w:t xml:space="preserve">(2) Bei anderen Urkunden ist derjenige zur Stellung des Antrags berechtigt, der das Recht aus der Urkunde geltend machen kann.</w:t>
      </w:r>
    </w:p>
    <w:p>
      <w:r>
        <w:rPr>
          <w:color w:val="555555"/>
          <w:sz w:val="17"/>
        </w:rPr>
        <w:t xml:space="preserve">Zitiervorschlag: § 467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