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465 FamFG — Aufgebot der Schiffsgläubiger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Aufgebotsverfahren zur Ausschließung von Schiffsgläubigern auf Grund des § 110 des Binnenschifffahrtsgesetzes gelten die nachfolgenden Absätze.</w:t>
      </w:r>
    </w:p>
    <w:p>
      <w:r>
        <w:t xml:space="preserve">(2) Örtlich zuständig ist das Gericht, in dessen Bezirk sich der Heimathafen oder der Heimatort des Schiffes befindet.</w:t>
      </w:r>
    </w:p>
    <w:p>
      <w:r>
        <w:t xml:space="preserve">(3) Unterliegt das Schiff der Eintragung in das Schiffsregister, kann der Antrag erst nach der Eintragung der Veräußerung des Schiffes gestellt werden.</w:t>
      </w:r>
    </w:p>
    <w:p>
      <w:r>
        <w:t xml:space="preserve">(4) Der Antragsteller hat die ihm bekannten Forderungen von Schiffsgläubigern anzugeben.</w:t>
      </w:r>
    </w:p>
    <w:p>
      <w:r>
        <w:t xml:space="preserve">(5) Die Aufgebotsfrist muss mindestens drei Monate betragen.</w:t>
      </w:r>
    </w:p>
    <w:p>
      <w:r>
        <w:t xml:space="preserve">(6) In dem Aufgebot ist den Schiffsgläubigern, die sich nicht melden, als Rechtsnachteil anzudrohen, dass ihre Pfandrechte erlöschen, wenn ihre Forderungen dem Antragsteller nicht bekannt sind.</w:t>
      </w:r>
    </w:p>
    <w:p>
      <w:r>
        <w:rPr>
          <w:color w:val="555555"/>
          <w:sz w:val="17"/>
        </w:rPr>
        <w:t xml:space="preserve">Zitiervorschlag: § 465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