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463 FamFG — Erbschaftskäufer</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Hat der Erbe die Erbschaft verkauft, so können sowohl der Käufer als auch der Erbe das Aufgebot beantragen. Der von dem einen Teil gestellte Antrag und der von ihm erwirkte Ausschließungsbeschluss kommen, unbeschadet der Vorschriften des Bürgerlichen Gesetzbuchs über die unbeschränkte Haftung, auch dem anderen Teil zustatten.</w:t>
      </w:r>
    </w:p>
    <w:p>
      <w:r>
        <w:t xml:space="preserve">(2) Diese Vorschriften gelten entsprechend, wenn jemand eine durch Vertrag erworbene Erbschaft verkauft oder sich zur Veräußerung einer ihm angefallenen oder anderweitig von ihm erworbenen Erbschaft in sonstiger Weise verpflichtet hat.</w:t>
      </w:r>
    </w:p>
    <w:p>
      <w:r>
        <w:rPr>
          <w:color w:val="555555"/>
          <w:sz w:val="17"/>
        </w:rPr>
        <w:t xml:space="preserve">Zitiervorschlag: § 463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