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462 FamFG — Gütergemeinschaft</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Gehört ein Nachlass zum Gesamtgut der Gütergemeinschaft, kann sowohl der Ehegatte, der Erbe ist, als auch der Ehegatte, der nicht Erbe ist, aber das Gesamtgut allein oder mit seinem Ehegatten gemeinschaftlich verwaltet, das Aufgebot beantragen, ohne dass die Zustimmung des anderen Ehegatten erforderlich ist. Die Ehegatten behalten diese Befugnis, wenn die Gütergemeinschaft endet.</w:t>
      </w:r>
    </w:p>
    <w:p>
      <w:r>
        <w:t xml:space="preserve">(2) Der von einem Ehegatten gestellte Antrag und der von ihm erwirkte Ausschließungsbeschluss kommen auch dem anderen Ehegatten zustatten.</w:t>
      </w:r>
    </w:p>
    <w:p>
      <w:r>
        <w:t xml:space="preserve">(3) Die Absätze 1 und 2 finden auf Lebenspartnerschaften entsprechende Anwendung.</w:t>
      </w:r>
    </w:p>
    <w:p>
      <w:r>
        <w:rPr>
          <w:color w:val="555555"/>
          <w:sz w:val="17"/>
        </w:rPr>
        <w:t xml:space="preserve">Zitiervorschlag: § 462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