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460 FamFG — Mehrheit von Erben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Sind mehrere Erben vorhanden, kommen der von einem Erben gestellte Antrag und der von ihm erwirkte Ausschließungsbeschluss auch den anderen Erben zustatten; die Vorschriften des Bürgerlichen Gesetzbuchs über die unbeschränkte Haftung bleiben unberührt. Als Rechtsnachteil ist den Nachlassgläubigern, die sich nicht melden, auch anzudrohen, dass jeder Erbe nach der Teilung des Nachlasses nur für den seinem Erbteil entsprechenden Teil der Verbindlichkeit haftet.</w:t>
      </w:r>
    </w:p>
    <w:p>
      <w:r>
        <w:t xml:space="preserve">(2) Das Aufgebot mit Androhung des in Absatz 1 Satz 2 bestimmten Rechtsnachteils kann von jedem Erben auch dann beantragt werden, wenn er für die Nachlassverbindlichkeiten unbeschränkt haftet.</w:t>
      </w:r>
    </w:p>
    <w:p>
      <w:r>
        <w:rPr>
          <w:color w:val="555555"/>
          <w:sz w:val="17"/>
        </w:rPr>
        <w:t xml:space="preserve">Zitiervorschlag: § 460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