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459 FamFG — Forderungsanmeldung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Anmeldung einer Forderung sind der Gegenstand und der Grund der Forderung anzugeben. Urkundliche Beweisstücke sind in Urschrift oder in Abschrift beizufügen.</w:t>
      </w:r>
    </w:p>
    <w:p>
      <w:r>
        <w:t xml:space="preserve">(2) Das Gericht hat die Einsicht der Anmeldungen jedem zu gestatten, der ein rechtliches Interesse glaubhaft macht.</w:t>
      </w:r>
    </w:p>
    <w:p>
      <w:r>
        <w:rPr>
          <w:color w:val="555555"/>
          <w:sz w:val="17"/>
        </w:rPr>
        <w:t xml:space="preserve">Zitiervorschlag: § 459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