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458 FamFG — Inhalt des Aufgebots; Aufgebotsfrist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dem Aufgebot ist den Nachlassgläubigern, die sich nicht melden, als Rechtsnachteil anzudrohen, dass sie von dem Erben nur insoweit Befriedigung verlangen können, als sich nach Befriedigung der nicht ausgeschlossenen Gläubiger noch ein Überschuss ergibt; das Recht, vor den Verbindlichkeiten aus Pflichtteilsrechten, Vermächtnissen und Auflagen berücksichtigt zu werden, bleibt unberührt.</w:t>
      </w:r>
    </w:p>
    <w:p>
      <w:r>
        <w:t xml:space="preserve">(2) Die Aufgebotsfrist soll höchstens sechs Monate betragen.</w:t>
      </w:r>
    </w:p>
    <w:p>
      <w:r>
        <w:rPr>
          <w:color w:val="555555"/>
          <w:sz w:val="17"/>
        </w:rPr>
        <w:t xml:space="preserve">Zitiervorschlag: § 458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