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457 FamFG — Nachlassinsolvenzverfahren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Aufgebot soll nicht erlassen werden, wenn die Eröffnung des Nachlassinsolvenzverfahrens beantragt ist.</w:t>
      </w:r>
    </w:p>
    <w:p>
      <w:r>
        <w:t xml:space="preserve">(2) Durch die Eröffnung des Nachlassinsolvenzverfahrens wird das Aufgebotsverfahren beendet.</w:t>
      </w:r>
    </w:p>
    <w:p>
      <w:r>
        <w:rPr>
          <w:color w:val="555555"/>
          <w:sz w:val="17"/>
        </w:rPr>
        <w:t xml:space="preserve">Zitiervorschlag: § 457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