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455 FamFG — Antragsberechtigter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Antragsberechtigt ist jeder Erbe, wenn er nicht für die Nachlassverbindlichkeiten unbeschränkt haftet.</w:t>
      </w:r>
    </w:p>
    <w:p>
      <w:r>
        <w:t xml:space="preserve">(2) Zu dem Antrag sind auch ein Nachlasspfleger, Nachlassverwalter und ein Testamentsvollstrecker berechtigt, wenn ihnen die Verwaltung des Nachlasses zusteht.</w:t>
      </w:r>
    </w:p>
    <w:p>
      <w:r>
        <w:t xml:space="preserve">(3) Der Erbe und der Testamentsvollstrecker können den Antrag erst nach der Annahme der Erbschaft stellen.</w:t>
      </w:r>
    </w:p>
    <w:p>
      <w:r>
        <w:rPr>
          <w:color w:val="555555"/>
          <w:sz w:val="17"/>
        </w:rPr>
        <w:t xml:space="preserve">Zitiervorschlag: § 455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