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452 FamFG — Aufgebot des Schiffshypothekengläubigers; örtliche Zuständigkeit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Aufgebotsverfahren zur Ausschließung eines Schiffshypothekengläubigers auf Grund der §§ 66 und 67 des Gesetzes über Rechte an eingetragenen Schiffen und Schiffsbauwerken (BGBl. III 403-4) gelten die §§ 448 bis 451 entsprechend. Anstelle der §§ 1170, 1171 und 1179 des Bürgerlichen Gesetzbuchs sind die §§ 66, 67, 58 des genannten Gesetzes anzuwenden.</w:t>
      </w:r>
    </w:p>
    <w:p>
      <w:r>
        <w:t xml:space="preserve">(2) Örtlich zuständig ist das Gericht, bei dem das Register für das Schiff oder Schiffsbauwerk geführt wird.</w:t>
      </w:r>
    </w:p>
    <w:p>
      <w:r>
        <w:rPr>
          <w:color w:val="555555"/>
          <w:sz w:val="17"/>
        </w:rPr>
        <w:t xml:space="preserve">Zitiervorschlag: § 452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