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451 FamFG — Verfahren bei Ausschluss mittels Hinterlegung</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Im Fall des § 1171 des Bürgerlichen Gesetzbuchs hat der Antragsteller vor der Einleitung des Verfahrens die Hinterlegung des dem Gläubiger gebührenden Betrags anzubieten.</w:t>
      </w:r>
    </w:p>
    <w:p>
      <w:r>
        <w:t xml:space="preserve">(2) In dem Aufgebot ist als Rechtsnachteil anzudrohen, dass der Gläubiger nach der Hinterlegung des ihm gebührenden Betrags seine Befriedigung statt aus dem Grundstück nur noch aus dem hinterlegten Betrag verlangen könne und sein Recht auf diesen erlösche, wenn er sich nicht vor dem Ablauf von 30 Jahren nach dem Erlass des Ausschließungsbeschlusses bei der Hinterlegungsstelle melde.</w:t>
      </w:r>
    </w:p>
    <w:p>
      <w:r>
        <w:t xml:space="preserve">(3) Hängt die Fälligkeit der Forderung von einer Kündigung ab, erweitert sich die Aufgebotsfrist um die Kündigungsfrist.</w:t>
      </w:r>
    </w:p>
    <w:p>
      <w:r>
        <w:t xml:space="preserve">(4) Der Ausschließungsbeschluss darf erst dann erlassen werden, wenn die Hinterlegung erfolgt ist.</w:t>
      </w:r>
    </w:p>
    <w:p>
      <w:r>
        <w:rPr>
          <w:color w:val="555555"/>
          <w:sz w:val="17"/>
        </w:rPr>
        <w:t xml:space="preserve">Zitiervorschlag: § 451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https://recht.nulegal.eu/gesetze/FamFG/451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