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450 FamFG — Besondere Glaubhaftmachung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Fall des § 1170 des Bürgerlichen Gesetzbuchs hat der Antragsteller vor der Einleitung des Verfahrens auch glaubhaft zu machen, dass eine das Aufgebot ausschließende Anerkennung des Rechts des Gläubigers nicht erfolgt ist.</w:t>
      </w:r>
    </w:p>
    <w:p>
      <w:r>
        <w:t xml:space="preserve">(2) Ist die Hypothek für die Forderung aus einer Schuldverschreibung auf den Inhaber bestellt oder der Grundschuld- oder Rentenschuldbrief auf den Inhaber ausgestellt, hat der Antragsteller glaubhaft zu machen, dass die Schuldverschreibung oder der Brief bis zum Ablauf der in § 801 des Bürgerlichen Gesetzbuchs bezeichneten Frist nicht vorgelegt und der Anspruch nicht gerichtlich geltend gemacht worden ist. Ist die Vorlegung oder die gerichtliche Geltendmachung erfolgt, so ist die in Absatz 1 vorgeschriebene Glaubhaftmachung erforderlich.</w:t>
      </w:r>
    </w:p>
    <w:p>
      <w:r>
        <w:t xml:space="preserve">(3) Zur Glaubhaftmachung genügt in den Fällen der Absätze 1, 2 die Versicherung des Antragstellers an Eides statt. Das Recht des Gerichts zur Anordnung anderweitiger Ermittlungen von Amts wegen wird hierdurch nicht berührt.</w:t>
      </w:r>
    </w:p>
    <w:p>
      <w:r>
        <w:t xml:space="preserve">(4) In dem Aufgebot ist als Rechtsnachteil anzudrohen, dass der Gläubiger mit seinem Recht ausgeschlossen werde.</w:t>
      </w:r>
    </w:p>
    <w:p>
      <w:r>
        <w:t xml:space="preserve">(5) Wird das Aufgebot auf Antrag eines nach § 448 Abs. 2 Antragsberechtigten erlassen, so ist es dem Eigentümer des Grundstücks von Amts wegen mitzuteilen.</w:t>
      </w:r>
    </w:p>
    <w:p>
      <w:r>
        <w:rPr>
          <w:color w:val="555555"/>
          <w:sz w:val="17"/>
        </w:rPr>
        <w:t xml:space="preserve">Zitiervorschlag: § 450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